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24" w:rsidRDefault="007C0024" w:rsidP="007C0024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</w:t>
      </w:r>
      <w:r w:rsidR="00A23F43">
        <w:rPr>
          <w:rFonts w:ascii="Times New Roman" w:hAnsi="Times New Roman"/>
          <w:b/>
          <w:sz w:val="28"/>
          <w:szCs w:val="28"/>
        </w:rPr>
        <w:t>dukacyjne z religii dla klasy 2G</w:t>
      </w:r>
      <w:r>
        <w:rPr>
          <w:rFonts w:ascii="Times New Roman" w:hAnsi="Times New Roman"/>
          <w:b/>
          <w:sz w:val="28"/>
          <w:szCs w:val="28"/>
        </w:rPr>
        <w:t xml:space="preserve"> na rok  szkolny 2025/26 w oparciu o program nauczania</w:t>
      </w:r>
    </w:p>
    <w:p w:rsidR="007C0024" w:rsidRDefault="007C0024" w:rsidP="007C0024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7C0024" w:rsidRDefault="007C0024" w:rsidP="007C0024">
      <w:pPr>
        <w:pStyle w:val="Bezodstpw"/>
        <w:rPr>
          <w:rFonts w:ascii="Times New Roman" w:hAnsi="Times New Roman"/>
          <w:b/>
          <w:sz w:val="32"/>
          <w:szCs w:val="20"/>
        </w:rPr>
      </w:pPr>
    </w:p>
    <w:p w:rsidR="007C0024" w:rsidRPr="007C0024" w:rsidRDefault="007C0024" w:rsidP="007C0024">
      <w:pPr>
        <w:pStyle w:val="Bezodstpw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 w:rsidRPr="007C0024">
        <w:rPr>
          <w:rFonts w:ascii="Times New Roman" w:hAnsi="Times New Roman"/>
          <w:b/>
          <w:sz w:val="20"/>
          <w:szCs w:val="20"/>
        </w:rPr>
        <w:t>Wymagania edukacyjne</w:t>
      </w:r>
    </w:p>
    <w:p w:rsidR="007C0024" w:rsidRDefault="007C0024" w:rsidP="00345B1E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71"/>
        <w:gridCol w:w="2338"/>
        <w:gridCol w:w="2549"/>
        <w:gridCol w:w="2552"/>
        <w:gridCol w:w="2412"/>
        <w:gridCol w:w="2199"/>
      </w:tblGrid>
      <w:tr w:rsidR="007C0024" w:rsidRPr="00CF10F4" w:rsidTr="007C0024">
        <w:trPr>
          <w:tblHeader/>
        </w:trPr>
        <w:tc>
          <w:tcPr>
            <w:tcW w:w="1271" w:type="dxa"/>
          </w:tcPr>
          <w:p w:rsidR="007C0024" w:rsidRPr="00CF10F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7C0024" w:rsidRPr="00CF10F4" w:rsidRDefault="007C0024" w:rsidP="007C002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7C0024" w:rsidRPr="00CF10F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7C0024" w:rsidTr="007C0024">
        <w:tc>
          <w:tcPr>
            <w:tcW w:w="1271" w:type="dxa"/>
          </w:tcPr>
          <w:p w:rsidR="007C0024" w:rsidRDefault="007C0024" w:rsidP="00D51D7C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Droga do dojrzałości</w:t>
            </w:r>
          </w:p>
        </w:tc>
        <w:tc>
          <w:tcPr>
            <w:tcW w:w="2338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definiuje pojęcie wiary;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- proponuje własną drogę rozwoju wiary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 i wiedzy w nowym roku szkolnym;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na podstawie biblijnego opisu stworzenia prze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stawia poszczególne etapy powstawania świata;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opisuje biblijną konce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cję stworzenia człowieka;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wyjaśnia, że biblijny opis stworzenia ukazuje niepowtarzalność i go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ność osoby ludzkiej;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wymienia cuda i znaki świadczące o boskości Jezusa;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 wskazuje, że zma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r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twych</w:t>
            </w:r>
            <w:r>
              <w:rPr>
                <w:rFonts w:ascii="Times New Roman" w:hAnsi="Times New Roman"/>
                <w:sz w:val="20"/>
                <w:szCs w:val="20"/>
              </w:rPr>
              <w:t>wstanie dowodzi boskości Jezusa;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wylicza przykazania z Dekalogu;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definiuje przykazanie miłości</w:t>
            </w:r>
          </w:p>
          <w:p w:rsidR="007C0024" w:rsidRDefault="007C0024" w:rsidP="00D51D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</w:t>
            </w:r>
            <w:r>
              <w:rPr>
                <w:rFonts w:ascii="Times New Roman" w:hAnsi="Times New Roman"/>
                <w:sz w:val="20"/>
                <w:szCs w:val="20"/>
              </w:rPr>
              <w:t>nia znaczenie słowa nawrócenie.</w:t>
            </w:r>
          </w:p>
          <w:p w:rsidR="007C0024" w:rsidRPr="00E80B98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 w:rsidRPr="009D1B72">
              <w:rPr>
                <w:rFonts w:ascii="Times New Roman" w:hAnsi="Times New Roman"/>
                <w:sz w:val="20"/>
                <w:szCs w:val="20"/>
              </w:rPr>
              <w:t>- wymienia dyscypliny n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ukowe zajmujące się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znawaniem otaczającego świata;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poszukuje metod i form dowartościowania godności osoby ludzkiej we współcz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snym świecie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wymienia etapy historii zbawienia;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</w:t>
            </w:r>
            <w:r>
              <w:rPr>
                <w:rFonts w:ascii="Times New Roman" w:hAnsi="Times New Roman"/>
                <w:sz w:val="20"/>
                <w:szCs w:val="20"/>
              </w:rPr>
              <w:t>ia i opisuje wyd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rzenia zbawcze;</w:t>
            </w:r>
          </w:p>
          <w:p w:rsidR="007C0024" w:rsidRPr="009D1B72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charakter</w:t>
            </w:r>
            <w:r>
              <w:rPr>
                <w:rFonts w:ascii="Times New Roman" w:hAnsi="Times New Roman"/>
                <w:sz w:val="20"/>
                <w:szCs w:val="20"/>
              </w:rPr>
              <w:t>yzuje relację Jezusa z uczniami;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podaje przykłady przyp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wieści z Ewangelii;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wymienia biblijnych i współczesnych świadków wiary</w:t>
            </w:r>
          </w:p>
          <w:p w:rsidR="007C0024" w:rsidRPr="00E80B98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argumentuje powinność dawania świadectwa przez osoby wierzące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 w:rsidRPr="009D1B72">
              <w:rPr>
                <w:rFonts w:ascii="Times New Roman" w:hAnsi="Times New Roman"/>
                <w:sz w:val="20"/>
                <w:szCs w:val="20"/>
              </w:rPr>
              <w:t>- wymienia wybranych przedstawicieli świata nauki, którzy publicznie przyzn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wali się do swojej wiary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wyjaśnia, że biblijny opis stworzenia jest obrazem potęgi i wspaniałości Boga;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prezentuje argumenty przekonujące o ingerencji Boga w proces powstawania świata i człowieka</w:t>
            </w:r>
          </w:p>
          <w:p w:rsidR="007C0024" w:rsidRPr="009D1B72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prezentuje naukowe ko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cepcje powstania życia na Ziemi;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opisuje relację łączącą Jezusa z Ojcem;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wymienia błogosławie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ń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stwa ewangeliczne;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na podstawie tekstów z Pisma Świętego interpretuje działanie Boga w życiu ludzi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opisuje wiarę Abrahama, Mojżesza i Maryi;</w:t>
            </w:r>
          </w:p>
          <w:p w:rsidR="007C0024" w:rsidRPr="00345B1E" w:rsidRDefault="007C0024" w:rsidP="00E80B9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podaje przykłady dawania świadectwa wiary w </w:t>
            </w:r>
            <w:r>
              <w:rPr>
                <w:rFonts w:ascii="Times New Roman" w:hAnsi="Times New Roman"/>
                <w:sz w:val="20"/>
                <w:szCs w:val="20"/>
              </w:rPr>
              <w:t>życiu codziennym, zawodowym.</w:t>
            </w:r>
          </w:p>
        </w:tc>
        <w:tc>
          <w:tcPr>
            <w:tcW w:w="2412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E80B98">
            <w:pPr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- 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porównuje zakres badań wybranych dyscyplin n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a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ukowych z refleksją nad ich korelacją z prawdami wiary; 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porównuje biblijną i naukową koncepcję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wstania świata;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porównuje biblijną i naukową koncepcję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wstania życia;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interpretuje treść </w:t>
            </w:r>
            <w:proofErr w:type="spellStart"/>
            <w:r w:rsidRPr="009D1B72">
              <w:rPr>
                <w:rFonts w:ascii="Times New Roman" w:hAnsi="Times New Roman"/>
                <w:sz w:val="20"/>
                <w:szCs w:val="20"/>
              </w:rPr>
              <w:t>Prot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ewangelii</w:t>
            </w:r>
            <w:proofErr w:type="spellEnd"/>
            <w:r w:rsidRPr="009D1B72">
              <w:rPr>
                <w:rFonts w:ascii="Times New Roman" w:hAnsi="Times New Roman"/>
                <w:sz w:val="20"/>
                <w:szCs w:val="20"/>
              </w:rPr>
              <w:t xml:space="preserve"> i wybranych proroctw;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wyjaśnia istotę działania Boga w wydarzeniach historycznych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interpretuje błogosł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wieństwa ewangeliczne;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</w:t>
            </w:r>
            <w:r>
              <w:rPr>
                <w:rFonts w:ascii="Times New Roman" w:hAnsi="Times New Roman"/>
                <w:sz w:val="20"/>
                <w:szCs w:val="20"/>
              </w:rPr>
              <w:t>śnia znaczenie n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uczania Jezusa;</w:t>
            </w:r>
          </w:p>
          <w:p w:rsidR="007C0024" w:rsidRPr="00D51D7C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analizuje teksty świ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dectw i formułuje wnios</w:t>
            </w:r>
            <w:r>
              <w:rPr>
                <w:rFonts w:ascii="Times New Roman" w:hAnsi="Times New Roman"/>
                <w:sz w:val="20"/>
                <w:szCs w:val="20"/>
              </w:rPr>
              <w:t>ki dotyczące życia duchow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go.</w:t>
            </w:r>
          </w:p>
        </w:tc>
        <w:tc>
          <w:tcPr>
            <w:tcW w:w="2199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345B1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7964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II. Dążenie do prawdy</w:t>
            </w:r>
          </w:p>
        </w:tc>
        <w:tc>
          <w:tcPr>
            <w:tcW w:w="2338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definiuje pojęcie </w:t>
            </w:r>
            <w:r>
              <w:rPr>
                <w:rFonts w:ascii="Times New Roman" w:hAnsi="Times New Roman"/>
                <w:sz w:val="20"/>
                <w:szCs w:val="20"/>
              </w:rPr>
              <w:t>pra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dy;</w:t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potrzebę troski o poszanowanie prawdy w codziennym życiu;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i krótko op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suje najważniejsze religie świata;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ściół, sukcesja apostolska; 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definiuje, czym jest nawrócenie;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 podstawowe informacje na temat P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sma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Świętego;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wiara i herezja;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recytuje Credo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nicejsko-konstantynopolitańskie;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czym jest sekta;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kons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ekwencje przynależności do sekt.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C0024" w:rsidRPr="00E80B98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naj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ważniejsze zafałszowania prawdy;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wyjaśnia, że we wszystkich religiach znajdują się el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menty prawdy;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przej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wiania troski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 wspólnotę Kościoła lokalnego;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wylicza etapy nawrócenia;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argumentuje, że Bóg jest autorem Pisma Świętego;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posz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rzania wiedzy religijnej i pogłębiania wiary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 przykłady takich zjawisk, jak deizm, racjon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lizm, modernizm, mason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ria;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werb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wa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nia nowych członków do sekty.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E80B98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metody i for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my troski o poszanowanie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prawdy;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argumentuje, że pełnią Objawienia Boga jest Jezus Chrystus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wylicza przymioty Kości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 wymienia argumenty potwierdzające wiarygo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ność Kośc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ioła;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możliwości osobistego zaangażowania się w życie własnej wspó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noty parafialnej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przedstawia stosunek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katolickiego do ko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wertytów;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uzasadnia, że Pismo Święte i Tradycja są źródłami wiary Kościoła;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treść głównych prawd wiary;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przykłady działa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ności sekt.</w:t>
            </w:r>
          </w:p>
        </w:tc>
        <w:tc>
          <w:tcPr>
            <w:tcW w:w="2412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wyjaśnia treść poszcz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gólnych przymiotów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krótko charakteryzuje argumenty potwierdzające wiarygodność Kościoła rzymskokatolickiego;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podaje argumenty, które skłaniają do nawrócenia na katolicyzm;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polega 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jątkowość Kościoła katolickiego;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 oparciu o naukę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 wyjaśnia zgodność wiary i rozumu w dążeniu do prawdy;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D51D7C" w:rsidRDefault="007C0024" w:rsidP="007C0024">
            <w:pPr>
              <w:rPr>
                <w:rFonts w:ascii="Times New Roman" w:hAnsi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potrafi wykonać plakat przestrzegający młodych ludzi przed działalnością sekt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dogłębnie analizuje poznane treści i wiąże je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 wcześniejszą wiedzą;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964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9749A9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III. „Nie będziesz miał bogów cudzych przede mną”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definiuje pojęcie Dek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 i </w:t>
            </w:r>
            <w:r>
              <w:rPr>
                <w:rFonts w:ascii="Times New Roman" w:hAnsi="Times New Roman"/>
                <w:sz w:val="20"/>
                <w:szCs w:val="20"/>
              </w:rPr>
              <w:t>recytuje go z pami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</w:rPr>
              <w:t>ci;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magia, przesąd, wróżbiarstw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o, amulet, horoskop,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święt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kradztwo, bluźnierstwo, krzywoprzysięstwo, wi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rołomstwo;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opisuje okoliczności przekazania Narodowi Wybranemu Bożych przykazań;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argumenty za istnieniem jedynego B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bezbłędnie recytuje tekst modlitwy Wierzę w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możliwości budowania relacji z B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giem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33739A" w:rsidRDefault="007C0024" w:rsidP="003373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i formy dobrego przeżyw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nia niedzieli w rodzinie chrześcijańskiej.</w:t>
            </w: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zobowiązania wynikające 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Dekalogu;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wyjaśnia, w jaki sposób zostały podzielone przyk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zania Dekalogu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krótko omawia dowody istnienia jedynego Boga;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przymioty Boga;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określa związek pomiędzy życiem sakramentalnym a relacją z Bogiem i drugim człowiekiem;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 znaczenie i p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chodzenie słowa szabat;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3373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Eucharystię jako centru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 niedzieli chrześc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jańskiej.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E80B98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potrafi argumentować konieczność przestrzegania Dekalogu;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obszary zagrożeń związanych z zaniechaniem wypełniania pierwszego przykazania;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 treść poszczegó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nych Bożych przykazań, podając przykłady;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istotę chrześc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jańskiej wizji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wydarzenia Nowego Testamentu, które miały miejsce w niedzielę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niedzi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la jest pierwszym dniem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tygodnia;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uzasadnia, odwołując się do fragmentów biblijnych, konieczność świętowania niedzieli przez chrześcijan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samodzielnie formułuje propozycje rozwiązań w sytuacjach łamania pier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szego przykazania Dek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logu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analizuje treść Ewangelii mówiącej o spotkaniu Jezusa z bogatym mł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dzieńcem;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potrafi zachęcić rówi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śników do pr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zestrzegania przykazań Dekalogu;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zaint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resowania ludzi młodych tajemnicami wiary; 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podejmuje dialog na tematy religijne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wyjaśnia, dlaczego Msza Święta powinna stanowić centrum niedzieli chrześc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jańskiej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D51D7C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proponuje sposoby d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brego przygotowania do niedzielnej Eucharystii.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F3488C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IV. Bóg obecny i działający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definiuje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dlitwa, liturgia, sakr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ment, Eucharystia;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kategorie i rodzaje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siedem 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kramentów świętych;</w:t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w jaki sposób udziela się chrztu święt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kto może przyjąć chrzest święty;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czym jest bierzmowanie;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grzech, rachunek sumi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nia, żal za grzechy, 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ra spowiedź, zadośćucz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nienie;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warunki d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brej spowiedzi;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opisuje stosunek Jezusa do osób chorych;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podaje chrześcijańską definicję małżeństwa;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roz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znawania powołania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33739A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poszczegó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ne rodzaje modlitwy;</w:t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wskazuje, jakie mogą być przyczyny trudności w 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dlitwie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ogólny podział sakramentów wg Katech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zmu Kościoła Katolickiego i wymienia sakramenty prz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porządkowane do poszcz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gólnych grup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szafarzy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uzasadnia wartość nad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wania imion chrześcija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skich na chrzcie świętym;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dary i owoce Ducha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okoliczności ustanowienia sakramentu Eucharystii;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ia różne określenia Eucharystii;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kazuje skutki sakrame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tu pokuty;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szczegółowo w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runki dobrej spowiedzi;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wylicza owoce sakramentu namaszczenia chorych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kto może przyjąć sakrament namaszczenia chorych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czas i miejsce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ustanowienia sakramentu kapłaństwa;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przykłady świ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tych małżeństw;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polega wieloznaczność słowa 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łość;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definiuje cel małżeństwa i podaje sposoby jego osi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gnięcia;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że nie istnieje tzw. rozwód kościelny;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 za konieczn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ścią zachowani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 czystości przedmałżeńskiej.</w:t>
            </w: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opisuje znaczenie liturgii w życiu Kościoła i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F348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podaje przykłady spos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bów uwielbienia Boga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owoce sakrame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tów świętych i krótko je omawia;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skutki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że chrzest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to brama do innych sakrame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tów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uzasadnia wartość udziel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nia chrztu niemowlętom;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skutki sakrame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tu bierzmowania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metody i formy troski o rozwój swojej 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opisuje znaczenie Euchar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stii w życiu chrześcijanina;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formułuje zachętę do sy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tematycznego uczestnictwa w niedzi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elnej i świątecznej Eucharystii;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krótko opisuje okoliczności ustanowienia sakramentu pokuty;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przyczyny zani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dbywania 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akramentu pok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 przez młodzież;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sposób udzielania sakramentu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namaszczenia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stopnie święceń kapłańskich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przebieg litu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gii sakramentu małżeństwa;</w:t>
            </w:r>
          </w:p>
          <w:p w:rsidR="007C0024" w:rsidRPr="009749A9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i interpretuje związek pomiędzy prakt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kami reli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gijnymi a trwał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ścią małżeństwa.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Pr="00F3488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 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otrzebę uczestnictwa w liturgii;</w:t>
            </w:r>
          </w:p>
          <w:p w:rsidR="007C0024" w:rsidRPr="00F3488C" w:rsidRDefault="007C0024" w:rsidP="00F348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formułuje zachętę dla rówieśników do korzyst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nia z sakramentów świ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tych</w:t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i wyjaśnia obrzędy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tłumaczy znaczenie sy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boli obecnych w obrzędzie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argumentuje, dlaczego z łask chrztu świętego mo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ż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na korzystać na co dzień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argumentuje potrzebę przyjęcia sakramentu bierzmowania;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samodzielnie formułuje krótką zachętę do przyjęcia bierzmowania dla swoich rówieśników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jak owocnie przeżywać Mszę Świętą;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przytacza z pamięci sł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wa, którymi Jezus ustan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wił sakrament pokuty; 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argumenty przemawiające za biblijną genezą sakramentu 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maszczenia chorych;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poszcz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gólne stopnie święceń kapłańskich;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opisuje proces przygot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wania do kapłaństwa;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przebieg urocz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udzielania święceń kapłańskich;</w:t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interpretuje tekst przysi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gi małżeńskiej;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D51D7C" w:rsidRDefault="007C0024" w:rsidP="00FF6C98">
            <w:pPr>
              <w:rPr>
                <w:rFonts w:ascii="Times New Roman" w:hAnsi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interpretuje pojęcie K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ściół domowy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645DD5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V. Bóg prowadzący Kościół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prekursorów reformacji;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formy zaang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żowania w życie parafia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ne ludzi młodych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nal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ży wspierać katolików innych obrządków;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formy pomocy katolickim Kościołom wschodnim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pojęcie woln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 religijnej;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obszary braku wolności religijnej we współczesnym świecie;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33739A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Pr="007E074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przyczyny, prz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bieg i główne idee reform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cji;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oprac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uje 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łasny plan dążenia do świętości;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krótko chara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teryzuje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wybrane katolickie Kościoły wschodnie;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Polska może być naz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wana krajem wolności religijnej;</w:t>
            </w:r>
          </w:p>
          <w:p w:rsidR="00ED623D" w:rsidRPr="007E074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7E074C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różnice pomi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dzy katolicyzmem a prot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stantyzmem;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fakty z życia św. Tomasza Morusa;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cechy świętego,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które chciałby naśladować;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daty i fakty z życiorysu św. Ignacego Loyoli;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najważniejsze dokonania św. Ignacego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wymienia organizacje niosące pomoc katolickim Kościołom wschodnim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9749A9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dokonu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 obiektywnej oceny reformacji;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samodzielnie tworzy gazetkę informacyjną poświęconą św. Tomasz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wi Morusowi;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tworzy własną hierarchię wartości 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modyfikuje ją w razie potrzeby;</w:t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duch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wo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ść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ignacjańską</w:t>
            </w:r>
            <w:proofErr w:type="spellEnd"/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podobieństwa i różnice pomiędzy Kości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łem rzymskokatolickim a katolickimi Kościołami wschodnimi;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645DD5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VI. „Chcę błogosławić Pana w każdym czasie”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podaje definicję święt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ga powołanie do święt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miejsca zwi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zane z przyjściem Jezusa na świat;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proponuje sposoby 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brego przeżywania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kiego Postu;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po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jęcia: Trid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um Paschalne, pascha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liturgia;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zwyczaje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kanocne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na podstawie przekazów biblijnych opowiada o zmartwychwstaniu Jez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pojęcia: m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łość, sprawiedliwość, miłosierdzie;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s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krament pokuty i poje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nania jest przejawem Bożego miłosierdzia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mił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sierne względem duszy i ciała;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istotę obch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dów uroczystości Na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święt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szego Ciała i Krwi Chrystusa.</w:t>
            </w:r>
          </w:p>
          <w:p w:rsidR="007C0024" w:rsidRPr="0033739A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Pr="00645DD5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przedstawia życiorysy wybranych świętych;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duch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wego przygotowania do Bożego Narodzenia;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planuje własne przeżycie adwentu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- wyjaśnia, czym jest rok liturgiczny i jego poszcz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gólne okresy;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formy kultu Boż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go miłosierdzia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w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obraźnia miłosierdzia;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wskazuje fragmenty Biblii mówiące o potrzebie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sierdzia względem bliźnich;</w:t>
            </w:r>
          </w:p>
          <w:p w:rsidR="007C0024" w:rsidRPr="007E074C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wylicza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opisuje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symbole procesji Bożego Ciała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argumenty za wartością podążania do świętości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 istotę pierwszej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drugiej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części adwentu;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określa współczesne pr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blemy z przeżywaniem 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wentu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kontekst historyc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ny, społeczno-polityczny i religijny przyjścia Jezusa na świat;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znaczenie pojęć pascha oraz pascha chrześc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jańska;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odniesienia dni Triduum Paschalnego do wydarzeń zbawczych męki, śmierci i zmartwychwstania Jezusa; 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argumenty p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twierdzające autentyczność zmartwychwstania;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wskazuje miejsca w Biblii ukazujące Boże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dzie;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wymienia fakty z życia św. siostry Faustyny Kowalskiej; - wyjaśnia, jak przebiega modlitwa Koronką do Boż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 miłosierdzia;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- opisuje postać św. Matki Teresy z Kalkuty;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fakty z dziejów uroczystości Bożego Ciała;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przedstawia najważniejsze fakty związane z cudem euchar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ystycznym w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Bols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Lanciano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poprawnie rozwiązuje różne kazusy dotyczące pogrzebu i pochówku;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 związek między chrześcijaństwem a odni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sieniem do ciała zmarłego i przebiegiem pochówku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modlitwy za zmarłych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tworzy hasło adwentowe;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konfrontuje nauczanie Kościoła z osobistą post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wą wiary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argumenty na temat historyczności Jez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sa z Nazaretu;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mękę i śmierć Jezusa określa się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mianem paschy chrześc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jańskiej;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przygotuje rozważania wybranej stacji Drogi krzyżowej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wartościuje zwyczaje związane z Triduum Pa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chalnym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tworzy krzyżówkę z hasłami dotyczącymi zmartwychwstania oraz liturgicznego okresu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kiego Postu i czasu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kanocnego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istotę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 Bożego w odniesieniu do sprawiedliwości;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ocenia ludzkie zachow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nia w kontekście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prog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ramuje działalność charytatywną;</w:t>
            </w:r>
          </w:p>
          <w:p w:rsidR="007C0024" w:rsidRPr="007E074C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sposób oblicz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nia 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aty uroczystości B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żego Ciała.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749A9" w:rsidRDefault="009749A9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5012A6" w:rsidRDefault="005012A6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012A6" w:rsidRPr="00016ECA" w:rsidRDefault="005012A6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7C0024" w:rsidRDefault="007C0024" w:rsidP="005012A6">
      <w:pPr>
        <w:pStyle w:val="Bezodstpw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7C0024" w:rsidRDefault="007C0024" w:rsidP="007C002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7C0024" w:rsidRDefault="007C0024" w:rsidP="007C002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7C0024" w:rsidRPr="00330D92" w:rsidRDefault="007C0024" w:rsidP="005012A6">
      <w:pPr>
        <w:pStyle w:val="Bezodstpw"/>
        <w:numPr>
          <w:ilvl w:val="0"/>
          <w:numId w:val="16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7C0024" w:rsidRPr="00330D92" w:rsidRDefault="007C0024" w:rsidP="007C002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7C0024" w:rsidRPr="00330D92" w:rsidRDefault="007C0024" w:rsidP="007C002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lastRenderedPageBreak/>
        <w:t>5,51 – 6 celujący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7C0024" w:rsidRPr="00D54D74" w:rsidRDefault="007C0024" w:rsidP="007C0024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D54D74">
        <w:rPr>
          <w:b/>
          <w:color w:val="000000"/>
          <w:sz w:val="20"/>
          <w:szCs w:val="20"/>
        </w:rPr>
        <w:t>Warunki i tryb uzyskania wyższej niż przewidywana rocznej oceny klasyfikacyjnej regulowane są w Statucie.</w:t>
      </w:r>
    </w:p>
    <w:p w:rsidR="007C0024" w:rsidRPr="00D00FF5" w:rsidRDefault="007C0024" w:rsidP="00D00FF5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uczucia religijne,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 w:rsidR="00D00FF5"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7C0024" w:rsidRPr="00832AA4" w:rsidRDefault="007C0024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7C0024" w:rsidRPr="00832AA4" w:rsidRDefault="00D00FF5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7C0024" w:rsidRPr="00832AA4">
        <w:rPr>
          <w:rFonts w:ascii="Times New Roman" w:hAnsi="Times New Roman"/>
          <w:sz w:val="20"/>
          <w:szCs w:val="20"/>
        </w:rPr>
        <w:t>.</w:t>
      </w:r>
      <w:r w:rsidR="007C0024"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="007C0024" w:rsidRPr="00832AA4">
        <w:rPr>
          <w:rFonts w:ascii="Times New Roman" w:hAnsi="Times New Roman"/>
          <w:sz w:val="20"/>
          <w:szCs w:val="20"/>
        </w:rPr>
        <w:t>:</w:t>
      </w:r>
    </w:p>
    <w:p w:rsidR="007C0024" w:rsidRPr="00832AA4" w:rsidRDefault="007C0024" w:rsidP="007C0024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D00FF5" w:rsidRDefault="007C0024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7C0024" w:rsidRPr="00832AA4" w:rsidRDefault="00D00FF5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="007C0024"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="007C0024" w:rsidRPr="00832AA4">
        <w:rPr>
          <w:rFonts w:ascii="Times New Roman" w:hAnsi="Times New Roman"/>
          <w:sz w:val="20"/>
          <w:szCs w:val="20"/>
        </w:rPr>
        <w:t>) sprawdzian wiadomości,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k</w:t>
      </w:r>
      <w:r w:rsidR="007C0024"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="007C0024" w:rsidRPr="00832AA4">
        <w:rPr>
          <w:rFonts w:ascii="Times New Roman" w:hAnsi="Times New Roman"/>
          <w:sz w:val="20"/>
          <w:szCs w:val="20"/>
        </w:rPr>
        <w:t>) zeszyt przedmiotowy.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7C0024" w:rsidRPr="00832AA4" w:rsidRDefault="007C0024" w:rsidP="007C0024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7C0024" w:rsidRPr="00D00FF5" w:rsidRDefault="007C0024" w:rsidP="00D00FF5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 w:rsidR="00D00FF5"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7C0024" w:rsidRPr="00832AA4" w:rsidRDefault="00D00FF5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="007C0024"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7C0024" w:rsidRPr="00832AA4" w:rsidRDefault="00D00FF5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7C0024"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7C0024" w:rsidRPr="00832AA4" w:rsidRDefault="007C0024" w:rsidP="007C0024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7C0024" w:rsidRPr="00832AA4" w:rsidRDefault="007C0024" w:rsidP="007C0024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Uczeń jest informowany o swoich ocenach na bieżąco i systematycznie.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7C0024" w:rsidRPr="00832AA4" w:rsidRDefault="007C0024" w:rsidP="007C0024">
      <w:pPr>
        <w:pStyle w:val="NormalnyWeb"/>
        <w:rPr>
          <w:color w:val="000000"/>
          <w:sz w:val="20"/>
          <w:szCs w:val="20"/>
        </w:rPr>
      </w:pP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</w:p>
    <w:p w:rsidR="00645DD5" w:rsidRPr="001F42EF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45DD5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706B"/>
    <w:multiLevelType w:val="hybridMultilevel"/>
    <w:tmpl w:val="3EC2FBC2"/>
    <w:lvl w:ilvl="0" w:tplc="8E944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15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10"/>
  </w:num>
  <w:num w:numId="5">
    <w:abstractNumId w:val="8"/>
  </w:num>
  <w:num w:numId="6">
    <w:abstractNumId w:val="15"/>
  </w:num>
  <w:num w:numId="7">
    <w:abstractNumId w:val="11"/>
  </w:num>
  <w:num w:numId="8">
    <w:abstractNumId w:val="2"/>
  </w:num>
  <w:num w:numId="9">
    <w:abstractNumId w:val="13"/>
  </w:num>
  <w:num w:numId="10">
    <w:abstractNumId w:val="12"/>
  </w:num>
  <w:num w:numId="11">
    <w:abstractNumId w:val="7"/>
  </w:num>
  <w:num w:numId="12">
    <w:abstractNumId w:val="5"/>
  </w:num>
  <w:num w:numId="13">
    <w:abstractNumId w:val="0"/>
  </w:num>
  <w:num w:numId="14">
    <w:abstractNumId w:val="3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0602D0"/>
    <w:rsid w:val="001D3D04"/>
    <w:rsid w:val="001D7108"/>
    <w:rsid w:val="002A5B87"/>
    <w:rsid w:val="002E77AF"/>
    <w:rsid w:val="002F1864"/>
    <w:rsid w:val="002F7298"/>
    <w:rsid w:val="0033739A"/>
    <w:rsid w:val="00345B1E"/>
    <w:rsid w:val="003F4297"/>
    <w:rsid w:val="005012A6"/>
    <w:rsid w:val="00526FEC"/>
    <w:rsid w:val="00547F31"/>
    <w:rsid w:val="00645DD5"/>
    <w:rsid w:val="00703A67"/>
    <w:rsid w:val="007140E6"/>
    <w:rsid w:val="00754061"/>
    <w:rsid w:val="007964D7"/>
    <w:rsid w:val="007C0024"/>
    <w:rsid w:val="007E074C"/>
    <w:rsid w:val="007F1AE9"/>
    <w:rsid w:val="008F5765"/>
    <w:rsid w:val="009749A9"/>
    <w:rsid w:val="009850C4"/>
    <w:rsid w:val="009E6491"/>
    <w:rsid w:val="00A23F43"/>
    <w:rsid w:val="00AA50CE"/>
    <w:rsid w:val="00BB730A"/>
    <w:rsid w:val="00CF10F4"/>
    <w:rsid w:val="00D00FF5"/>
    <w:rsid w:val="00D068D7"/>
    <w:rsid w:val="00D414D3"/>
    <w:rsid w:val="00D51D7C"/>
    <w:rsid w:val="00D54D74"/>
    <w:rsid w:val="00E14120"/>
    <w:rsid w:val="00E80B98"/>
    <w:rsid w:val="00E93D0C"/>
    <w:rsid w:val="00ED623D"/>
    <w:rsid w:val="00F3488C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2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C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3164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ILO</cp:lastModifiedBy>
  <cp:revision>12</cp:revision>
  <dcterms:created xsi:type="dcterms:W3CDTF">2025-08-25T07:18:00Z</dcterms:created>
  <dcterms:modified xsi:type="dcterms:W3CDTF">2025-09-02T13:19:00Z</dcterms:modified>
</cp:coreProperties>
</file>